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CC7D2" w14:textId="4F25C184" w:rsidR="00D809F0" w:rsidRPr="005C658F" w:rsidRDefault="00D809F0" w:rsidP="00D809F0">
      <w:pPr>
        <w:spacing w:after="200" w:line="360" w:lineRule="auto"/>
        <w:jc w:val="center"/>
        <w:rPr>
          <w:rFonts w:ascii="Century Gothic" w:eastAsia="Times New Roman" w:hAnsi="Century Gothic"/>
          <w:b/>
          <w:sz w:val="28"/>
          <w:szCs w:val="28"/>
        </w:rPr>
      </w:pPr>
      <w:bookmarkStart w:id="0" w:name="Pupil_Views_Section_2"/>
      <w:bookmarkStart w:id="1" w:name="_GoBack"/>
      <w:bookmarkEnd w:id="1"/>
      <w:r w:rsidRPr="006E117A">
        <w:rPr>
          <w:rFonts w:ascii="Century Gothic" w:eastAsia="Times New Roman" w:hAnsi="Century Gothic"/>
          <w:b/>
          <w:sz w:val="28"/>
          <w:szCs w:val="28"/>
        </w:rPr>
        <w:t>Best Practice for Gaining the Views of Children and Young People</w:t>
      </w:r>
      <w:bookmarkEnd w:id="0"/>
    </w:p>
    <w:p w14:paraId="5D6A7C15" w14:textId="77777777" w:rsidR="00D809F0" w:rsidRPr="006E117A" w:rsidRDefault="00D809F0" w:rsidP="00D809F0">
      <w:pPr>
        <w:spacing w:after="0" w:line="360" w:lineRule="auto"/>
        <w:rPr>
          <w:rFonts w:ascii="Century Gothic" w:eastAsia="Times New Roman" w:hAnsi="Century Gothic"/>
          <w:sz w:val="24"/>
          <w:szCs w:val="24"/>
        </w:rPr>
      </w:pPr>
      <w:r w:rsidRPr="006E117A">
        <w:rPr>
          <w:rFonts w:ascii="Century Gothic" w:eastAsia="Times New Roman" w:hAnsi="Century Gothic"/>
          <w:sz w:val="24"/>
          <w:szCs w:val="24"/>
        </w:rPr>
        <w:t>The SEND Code of Practice (CoP) 2015 sets out the importance of the child or young person (CYP) participating as fully as possible in decision making processes and being provided with the information and support necessary to enable them to participate. There must be high regard given to the views, wishes and feelings of the child or young person.</w:t>
      </w:r>
    </w:p>
    <w:p w14:paraId="592725B1" w14:textId="77777777" w:rsidR="00D809F0" w:rsidRPr="006E117A" w:rsidRDefault="00D809F0" w:rsidP="00D809F0">
      <w:pPr>
        <w:spacing w:after="240" w:line="360" w:lineRule="auto"/>
        <w:ind w:left="-142"/>
        <w:jc w:val="right"/>
        <w:rPr>
          <w:rFonts w:ascii="Century Gothic" w:eastAsia="Times New Roman" w:hAnsi="Century Gothic"/>
          <w:sz w:val="24"/>
          <w:szCs w:val="24"/>
        </w:rPr>
      </w:pPr>
      <w:r w:rsidRPr="006E117A">
        <w:rPr>
          <w:rFonts w:ascii="Century Gothic" w:eastAsia="Times New Roman" w:hAnsi="Century Gothic"/>
          <w:i/>
          <w:sz w:val="24"/>
          <w:szCs w:val="24"/>
        </w:rPr>
        <w:t>Section 19 of the Children and Families Act 2014</w:t>
      </w:r>
    </w:p>
    <w:p w14:paraId="4DDDDF00" w14:textId="77777777" w:rsidR="00D809F0" w:rsidRPr="006E117A" w:rsidRDefault="00D809F0" w:rsidP="00D809F0">
      <w:pPr>
        <w:tabs>
          <w:tab w:val="left" w:pos="0"/>
        </w:tabs>
        <w:spacing w:after="240" w:line="360" w:lineRule="auto"/>
        <w:ind w:left="-142"/>
        <w:rPr>
          <w:rFonts w:ascii="Century Gothic" w:eastAsia="Times New Roman" w:hAnsi="Century Gothic"/>
          <w:sz w:val="24"/>
          <w:szCs w:val="28"/>
        </w:rPr>
      </w:pPr>
      <w:r w:rsidRPr="006E117A">
        <w:rPr>
          <w:rFonts w:ascii="Century Gothic" w:eastAsia="Times New Roman" w:hAnsi="Century Gothic"/>
          <w:sz w:val="24"/>
          <w:szCs w:val="28"/>
        </w:rPr>
        <w:t>In order to support settings in gathering the views of CYP with SEND, Birmingham City Council have developed a practical toolkit</w:t>
      </w:r>
      <w:r w:rsidRPr="00B65467">
        <w:rPr>
          <w:rFonts w:ascii="Century Gothic" w:eastAsia="Times New Roman" w:hAnsi="Century Gothic"/>
          <w:sz w:val="24"/>
          <w:szCs w:val="28"/>
        </w:rPr>
        <w:t xml:space="preserve">. (See Appendix </w:t>
      </w:r>
      <w:r>
        <w:rPr>
          <w:rFonts w:ascii="Century Gothic" w:eastAsia="Times New Roman" w:hAnsi="Century Gothic"/>
          <w:sz w:val="24"/>
          <w:szCs w:val="28"/>
        </w:rPr>
        <w:t>4</w:t>
      </w:r>
      <w:r w:rsidRPr="00B65467">
        <w:rPr>
          <w:rFonts w:ascii="Century Gothic" w:eastAsia="Times New Roman" w:hAnsi="Century Gothic"/>
          <w:sz w:val="24"/>
          <w:szCs w:val="28"/>
        </w:rPr>
        <w:t>)</w:t>
      </w:r>
      <w:r w:rsidRPr="006E117A">
        <w:rPr>
          <w:rFonts w:ascii="Century Gothic" w:eastAsia="Times New Roman" w:hAnsi="Century Gothic"/>
          <w:sz w:val="24"/>
          <w:szCs w:val="28"/>
        </w:rPr>
        <w:t xml:space="preserve"> The toolkit provides examples of Person-centred Thinking Tools and Resources to help support rich conversations with CYP about their thoughts, wishes and feelings. </w:t>
      </w:r>
    </w:p>
    <w:p w14:paraId="53C0EBD3" w14:textId="77777777" w:rsidR="00D809F0" w:rsidRPr="006E117A" w:rsidRDefault="00D809F0" w:rsidP="00D809F0">
      <w:pPr>
        <w:tabs>
          <w:tab w:val="left" w:pos="0"/>
        </w:tabs>
        <w:spacing w:after="240" w:line="360" w:lineRule="auto"/>
        <w:ind w:left="-142"/>
        <w:rPr>
          <w:rFonts w:ascii="Century Gothic" w:eastAsia="Times New Roman" w:hAnsi="Century Gothic"/>
          <w:b/>
          <w:bCs/>
          <w:sz w:val="24"/>
          <w:szCs w:val="28"/>
        </w:rPr>
      </w:pPr>
      <w:r w:rsidRPr="006E117A">
        <w:rPr>
          <w:rFonts w:ascii="Century Gothic" w:eastAsia="Times New Roman" w:hAnsi="Century Gothic"/>
          <w:b/>
          <w:bCs/>
          <w:sz w:val="24"/>
          <w:szCs w:val="28"/>
        </w:rPr>
        <w:t>When should I gain the views of CYP with SEND?</w:t>
      </w:r>
    </w:p>
    <w:p w14:paraId="2B23DBEA" w14:textId="77777777" w:rsidR="00D809F0" w:rsidRPr="006E117A" w:rsidRDefault="00D809F0" w:rsidP="00D809F0">
      <w:pPr>
        <w:tabs>
          <w:tab w:val="left" w:pos="0"/>
        </w:tabs>
        <w:spacing w:after="240" w:line="360" w:lineRule="auto"/>
        <w:ind w:left="-142"/>
        <w:rPr>
          <w:rFonts w:ascii="Century Gothic" w:eastAsia="Times New Roman" w:hAnsi="Century Gothic"/>
          <w:b/>
          <w:bCs/>
          <w:sz w:val="24"/>
          <w:szCs w:val="28"/>
        </w:rPr>
      </w:pPr>
      <w:r w:rsidRPr="006E117A">
        <w:rPr>
          <w:rFonts w:ascii="Century Gothic" w:eastAsia="Times New Roman" w:hAnsi="Century Gothic"/>
          <w:b/>
          <w:bCs/>
          <w:sz w:val="24"/>
          <w:szCs w:val="80"/>
        </w:rPr>
        <w:t>CYP should be considered at every point in the decision-making process</w:t>
      </w:r>
      <w:r w:rsidRPr="006E117A">
        <w:rPr>
          <w:rFonts w:ascii="Century Gothic" w:eastAsia="Times New Roman" w:hAnsi="Century Gothic"/>
          <w:sz w:val="24"/>
          <w:szCs w:val="80"/>
        </w:rPr>
        <w:t xml:space="preserve"> so that CYP sit at the heart of the assess plan do review process</w:t>
      </w:r>
      <w:r w:rsidRPr="006E117A">
        <w:rPr>
          <w:rFonts w:ascii="Century Gothic" w:eastAsia="Times New Roman" w:hAnsi="Century Gothic"/>
          <w:sz w:val="23"/>
          <w:szCs w:val="23"/>
        </w:rPr>
        <w:t xml:space="preserve">. </w:t>
      </w:r>
    </w:p>
    <w:p w14:paraId="19B866D1" w14:textId="77777777" w:rsidR="00D809F0" w:rsidRPr="006E117A" w:rsidRDefault="00D809F0" w:rsidP="00D809F0">
      <w:pPr>
        <w:spacing w:after="240" w:line="360" w:lineRule="auto"/>
        <w:ind w:left="-142"/>
        <w:rPr>
          <w:rFonts w:ascii="Century Gothic" w:eastAsia="Times New Roman" w:hAnsi="Century Gothic"/>
          <w:sz w:val="24"/>
          <w:szCs w:val="80"/>
        </w:rPr>
      </w:pPr>
      <w:r w:rsidRPr="006E117A">
        <w:rPr>
          <w:rFonts w:ascii="Century Gothic" w:eastAsia="Times New Roman" w:hAnsi="Century Gothic"/>
          <w:b/>
          <w:bCs/>
          <w:sz w:val="24"/>
          <w:szCs w:val="80"/>
        </w:rPr>
        <w:t>Rich conversations</w:t>
      </w:r>
      <w:r w:rsidRPr="006E117A">
        <w:rPr>
          <w:rFonts w:ascii="Century Gothic" w:eastAsia="Times New Roman" w:hAnsi="Century Gothic"/>
          <w:sz w:val="24"/>
          <w:szCs w:val="80"/>
        </w:rPr>
        <w:t xml:space="preserve"> should take place regularly (not just at Annual Reviews). This will ensure that the needs of children and young people are responded to in a timely manner and with full consideration of young person’s wishes, views and feelings. </w:t>
      </w:r>
    </w:p>
    <w:p w14:paraId="524D2C5A" w14:textId="77777777" w:rsidR="00D809F0" w:rsidRPr="006E117A" w:rsidRDefault="00D809F0" w:rsidP="00D809F0">
      <w:pPr>
        <w:spacing w:after="240" w:line="360" w:lineRule="auto"/>
        <w:ind w:left="-142"/>
        <w:rPr>
          <w:rFonts w:ascii="Century Gothic" w:eastAsia="Times New Roman" w:hAnsi="Century Gothic"/>
          <w:b/>
          <w:sz w:val="24"/>
          <w:szCs w:val="80"/>
        </w:rPr>
      </w:pPr>
      <w:r w:rsidRPr="006E117A">
        <w:rPr>
          <w:rFonts w:ascii="Century Gothic" w:eastAsia="Times New Roman" w:hAnsi="Century Gothic"/>
          <w:b/>
          <w:sz w:val="24"/>
          <w:szCs w:val="80"/>
        </w:rPr>
        <w:t>Education, Health and Care Plan Reviews</w:t>
      </w:r>
    </w:p>
    <w:p w14:paraId="75AB5D05" w14:textId="77777777" w:rsidR="00D809F0" w:rsidRPr="006E117A" w:rsidRDefault="00D809F0" w:rsidP="00D809F0">
      <w:pPr>
        <w:spacing w:after="240" w:line="360" w:lineRule="auto"/>
        <w:ind w:left="-142"/>
        <w:rPr>
          <w:rFonts w:ascii="Century Gothic" w:eastAsia="Times New Roman" w:hAnsi="Century Gothic"/>
          <w:sz w:val="24"/>
          <w:szCs w:val="80"/>
        </w:rPr>
      </w:pPr>
      <w:r w:rsidRPr="006E117A">
        <w:rPr>
          <w:rFonts w:ascii="Century Gothic" w:eastAsia="Times New Roman" w:hAnsi="Century Gothic"/>
          <w:b/>
          <w:bCs/>
          <w:sz w:val="24"/>
          <w:szCs w:val="80"/>
        </w:rPr>
        <w:t>EHCPs should show clearly the contributions made by the child or young person</w:t>
      </w:r>
      <w:r w:rsidRPr="006E117A">
        <w:rPr>
          <w:rFonts w:ascii="Century Gothic" w:eastAsia="Times New Roman" w:hAnsi="Century Gothic"/>
          <w:sz w:val="24"/>
          <w:szCs w:val="80"/>
        </w:rPr>
        <w:t>. Settings should consider ways to gather the views of CYP regularly (ideally termly) in order to build up a record of views throughout the year, to be used as contributions towards the review.</w:t>
      </w:r>
    </w:p>
    <w:p w14:paraId="4A1C9156" w14:textId="77777777" w:rsidR="00D809F0" w:rsidRDefault="00D809F0" w:rsidP="00D809F0">
      <w:pPr>
        <w:spacing w:after="240" w:line="360" w:lineRule="auto"/>
        <w:ind w:left="-142"/>
        <w:rPr>
          <w:rFonts w:ascii="Century Gothic" w:eastAsia="Times New Roman" w:hAnsi="Century Gothic"/>
          <w:b/>
          <w:bCs/>
          <w:sz w:val="24"/>
          <w:szCs w:val="80"/>
        </w:rPr>
      </w:pPr>
    </w:p>
    <w:p w14:paraId="45006848" w14:textId="77777777" w:rsidR="00D809F0" w:rsidRPr="006E117A" w:rsidRDefault="00D809F0" w:rsidP="00D809F0">
      <w:pPr>
        <w:spacing w:after="240" w:line="360" w:lineRule="auto"/>
        <w:ind w:left="-142"/>
        <w:rPr>
          <w:rFonts w:ascii="Century Gothic" w:eastAsia="Times New Roman" w:hAnsi="Century Gothic"/>
          <w:sz w:val="24"/>
          <w:szCs w:val="80"/>
        </w:rPr>
      </w:pPr>
      <w:r w:rsidRPr="006E117A">
        <w:rPr>
          <w:rFonts w:ascii="Century Gothic" w:eastAsia="Times New Roman" w:hAnsi="Century Gothic"/>
          <w:b/>
          <w:bCs/>
          <w:sz w:val="24"/>
          <w:szCs w:val="80"/>
        </w:rPr>
        <w:lastRenderedPageBreak/>
        <w:t>Making time for rich and meaningful conversations with CYP is the best way to gain their views</w:t>
      </w:r>
      <w:r w:rsidRPr="006E117A">
        <w:rPr>
          <w:rFonts w:ascii="Century Gothic" w:eastAsia="Times New Roman" w:hAnsi="Century Gothic"/>
          <w:sz w:val="24"/>
          <w:szCs w:val="80"/>
        </w:rPr>
        <w:t>. To help engage CYP in these conversations, the following resources are suggested:</w:t>
      </w:r>
    </w:p>
    <w:p w14:paraId="3BAD7C68" w14:textId="77777777" w:rsidR="00D809F0" w:rsidRPr="006E117A" w:rsidRDefault="00D809F0" w:rsidP="00D809F0">
      <w:pPr>
        <w:numPr>
          <w:ilvl w:val="0"/>
          <w:numId w:val="2"/>
        </w:numPr>
        <w:spacing w:after="0" w:line="360" w:lineRule="auto"/>
        <w:ind w:left="142"/>
        <w:rPr>
          <w:rFonts w:ascii="Century Gothic" w:eastAsia="Times New Roman" w:hAnsi="Century Gothic"/>
          <w:sz w:val="24"/>
          <w:szCs w:val="80"/>
        </w:rPr>
      </w:pPr>
      <w:r w:rsidRPr="006E117A">
        <w:rPr>
          <w:rFonts w:ascii="Century Gothic" w:eastAsia="Times New Roman" w:hAnsi="Century Gothic"/>
          <w:b/>
          <w:sz w:val="24"/>
          <w:szCs w:val="80"/>
        </w:rPr>
        <w:t>‘</w:t>
      </w:r>
      <w:proofErr w:type="spellStart"/>
      <w:r w:rsidRPr="006E117A">
        <w:rPr>
          <w:rFonts w:ascii="Century Gothic" w:eastAsia="Times New Roman" w:hAnsi="Century Gothic"/>
          <w:b/>
          <w:sz w:val="24"/>
          <w:szCs w:val="80"/>
        </w:rPr>
        <w:t>PfA</w:t>
      </w:r>
      <w:proofErr w:type="spellEnd"/>
      <w:r w:rsidRPr="006E117A">
        <w:rPr>
          <w:rFonts w:ascii="Century Gothic" w:eastAsia="Times New Roman" w:hAnsi="Century Gothic"/>
          <w:b/>
          <w:sz w:val="24"/>
          <w:szCs w:val="80"/>
        </w:rPr>
        <w:t xml:space="preserve"> Aspect Cards’ - </w:t>
      </w:r>
      <w:r w:rsidRPr="006E117A">
        <w:rPr>
          <w:rFonts w:ascii="Century Gothic" w:eastAsia="Times New Roman" w:hAnsi="Century Gothic"/>
          <w:sz w:val="24"/>
          <w:szCs w:val="80"/>
        </w:rPr>
        <w:t>It is important to consider the views of CYP in relation to Preparing for Adulthood (</w:t>
      </w:r>
      <w:proofErr w:type="spellStart"/>
      <w:r w:rsidRPr="006E117A">
        <w:rPr>
          <w:rFonts w:ascii="Century Gothic" w:eastAsia="Times New Roman" w:hAnsi="Century Gothic"/>
          <w:sz w:val="24"/>
          <w:szCs w:val="80"/>
        </w:rPr>
        <w:t>PfA</w:t>
      </w:r>
      <w:proofErr w:type="spellEnd"/>
      <w:r w:rsidRPr="006E117A">
        <w:rPr>
          <w:rFonts w:ascii="Century Gothic" w:eastAsia="Times New Roman" w:hAnsi="Century Gothic"/>
          <w:sz w:val="24"/>
          <w:szCs w:val="80"/>
        </w:rPr>
        <w:t>), even from an early age. There are four ‘</w:t>
      </w:r>
      <w:proofErr w:type="spellStart"/>
      <w:r w:rsidRPr="006E117A">
        <w:rPr>
          <w:rFonts w:ascii="Century Gothic" w:eastAsia="Times New Roman" w:hAnsi="Century Gothic"/>
          <w:b/>
          <w:sz w:val="24"/>
          <w:szCs w:val="80"/>
        </w:rPr>
        <w:t>PfA</w:t>
      </w:r>
      <w:proofErr w:type="spellEnd"/>
      <w:r w:rsidRPr="006E117A">
        <w:rPr>
          <w:rFonts w:ascii="Century Gothic" w:eastAsia="Times New Roman" w:hAnsi="Century Gothic"/>
          <w:b/>
          <w:sz w:val="24"/>
          <w:szCs w:val="80"/>
        </w:rPr>
        <w:t xml:space="preserve"> Aspect Cards’ </w:t>
      </w:r>
      <w:r w:rsidRPr="006E117A">
        <w:rPr>
          <w:rFonts w:ascii="Century Gothic" w:eastAsia="Times New Roman" w:hAnsi="Century Gothic"/>
          <w:sz w:val="24"/>
          <w:szCs w:val="80"/>
        </w:rPr>
        <w:t xml:space="preserve">in the </w:t>
      </w:r>
      <w:r w:rsidRPr="006E117A">
        <w:rPr>
          <w:rFonts w:ascii="Century Gothic" w:eastAsia="Times New Roman" w:hAnsi="Century Gothic"/>
          <w:b/>
          <w:sz w:val="24"/>
          <w:szCs w:val="80"/>
        </w:rPr>
        <w:t xml:space="preserve">Toolkit Resources </w:t>
      </w:r>
      <w:r w:rsidRPr="006E117A">
        <w:rPr>
          <w:rFonts w:ascii="Century Gothic" w:eastAsia="Times New Roman" w:hAnsi="Century Gothic"/>
          <w:sz w:val="24"/>
          <w:szCs w:val="80"/>
        </w:rPr>
        <w:t xml:space="preserve">related to the four </w:t>
      </w:r>
      <w:proofErr w:type="spellStart"/>
      <w:r w:rsidRPr="006E117A">
        <w:rPr>
          <w:rFonts w:ascii="Century Gothic" w:eastAsia="Times New Roman" w:hAnsi="Century Gothic"/>
          <w:sz w:val="24"/>
          <w:szCs w:val="80"/>
        </w:rPr>
        <w:t>PfA</w:t>
      </w:r>
      <w:proofErr w:type="spellEnd"/>
      <w:r w:rsidRPr="006E117A">
        <w:rPr>
          <w:rFonts w:ascii="Century Gothic" w:eastAsia="Times New Roman" w:hAnsi="Century Gothic"/>
          <w:sz w:val="24"/>
          <w:szCs w:val="80"/>
        </w:rPr>
        <w:t xml:space="preserve"> themes. All four aspects should be considered when talking to a CYP about their views, wishes and feelings. However, you may feel that the rich conversations you have with the young person lead more toward one aspect than another.</w:t>
      </w:r>
    </w:p>
    <w:p w14:paraId="098A6AFD" w14:textId="77777777" w:rsidR="00D809F0" w:rsidRPr="006E117A" w:rsidRDefault="00D809F0" w:rsidP="00D809F0">
      <w:pPr>
        <w:numPr>
          <w:ilvl w:val="0"/>
          <w:numId w:val="2"/>
        </w:numPr>
        <w:spacing w:after="0" w:line="360" w:lineRule="auto"/>
        <w:ind w:left="142"/>
        <w:rPr>
          <w:rFonts w:ascii="Century Gothic" w:eastAsia="Times New Roman" w:hAnsi="Century Gothic"/>
          <w:sz w:val="24"/>
          <w:szCs w:val="80"/>
        </w:rPr>
      </w:pPr>
      <w:r w:rsidRPr="006E117A">
        <w:rPr>
          <w:rFonts w:ascii="Century Gothic" w:eastAsia="Times New Roman" w:hAnsi="Century Gothic"/>
          <w:b/>
          <w:sz w:val="24"/>
          <w:szCs w:val="80"/>
        </w:rPr>
        <w:t>Question prompts</w:t>
      </w:r>
      <w:r w:rsidRPr="006E117A">
        <w:rPr>
          <w:rFonts w:ascii="Century Gothic" w:eastAsia="Times New Roman" w:hAnsi="Century Gothic"/>
          <w:sz w:val="24"/>
          <w:szCs w:val="80"/>
        </w:rPr>
        <w:t xml:space="preserve"> and </w:t>
      </w:r>
      <w:r w:rsidRPr="006E117A">
        <w:rPr>
          <w:rFonts w:ascii="Century Gothic" w:eastAsia="Times New Roman" w:hAnsi="Century Gothic"/>
          <w:b/>
          <w:sz w:val="24"/>
          <w:szCs w:val="80"/>
        </w:rPr>
        <w:t>person-centred resources</w:t>
      </w:r>
      <w:r w:rsidRPr="006E117A">
        <w:rPr>
          <w:rFonts w:ascii="Century Gothic" w:eastAsia="Times New Roman" w:hAnsi="Century Gothic"/>
          <w:sz w:val="24"/>
          <w:szCs w:val="80"/>
        </w:rPr>
        <w:t xml:space="preserve"> are provided for each aspect card.  </w:t>
      </w:r>
    </w:p>
    <w:p w14:paraId="1E373125" w14:textId="77777777" w:rsidR="00D809F0" w:rsidRPr="006E117A" w:rsidRDefault="00D809F0" w:rsidP="00D809F0">
      <w:pPr>
        <w:numPr>
          <w:ilvl w:val="0"/>
          <w:numId w:val="2"/>
        </w:numPr>
        <w:spacing w:after="0" w:line="360" w:lineRule="auto"/>
        <w:ind w:left="142"/>
        <w:rPr>
          <w:rFonts w:ascii="Century Gothic" w:eastAsia="Times New Roman" w:hAnsi="Century Gothic"/>
          <w:sz w:val="24"/>
          <w:szCs w:val="80"/>
        </w:rPr>
      </w:pPr>
      <w:r w:rsidRPr="006E117A">
        <w:rPr>
          <w:rFonts w:ascii="Century Gothic" w:eastAsia="Times New Roman" w:hAnsi="Century Gothic"/>
          <w:b/>
          <w:sz w:val="24"/>
          <w:szCs w:val="24"/>
        </w:rPr>
        <w:t xml:space="preserve">Opportunities to support conversations document – </w:t>
      </w:r>
      <w:r w:rsidRPr="006E117A">
        <w:rPr>
          <w:rFonts w:ascii="Century Gothic" w:eastAsia="Times New Roman" w:hAnsi="Century Gothic"/>
          <w:bCs/>
          <w:sz w:val="24"/>
          <w:szCs w:val="24"/>
        </w:rPr>
        <w:t>These</w:t>
      </w:r>
      <w:r w:rsidRPr="006E117A">
        <w:rPr>
          <w:rFonts w:ascii="Century Gothic" w:eastAsia="Times New Roman" w:hAnsi="Century Gothic"/>
          <w:b/>
          <w:sz w:val="24"/>
          <w:szCs w:val="24"/>
        </w:rPr>
        <w:t xml:space="preserve"> </w:t>
      </w:r>
      <w:r w:rsidRPr="006E117A">
        <w:rPr>
          <w:rFonts w:ascii="Century Gothic" w:eastAsia="Times New Roman" w:hAnsi="Century Gothic"/>
          <w:sz w:val="24"/>
          <w:szCs w:val="24"/>
        </w:rPr>
        <w:t xml:space="preserve">suggest ways to facilitate conversations with children and young people and help to gain their views, wishes and feelings. The ideas include both planned activities and ideas for incidental opportunities. </w:t>
      </w:r>
    </w:p>
    <w:p w14:paraId="46652BFD" w14:textId="77777777" w:rsidR="00D809F0" w:rsidRPr="007C20F8" w:rsidRDefault="00D809F0" w:rsidP="00D809F0">
      <w:pPr>
        <w:spacing w:after="0" w:line="360" w:lineRule="auto"/>
        <w:rPr>
          <w:rFonts w:ascii="Century Gothic" w:eastAsia="Times New Roman" w:hAnsi="Century Gothic"/>
          <w:color w:val="7F7F7F"/>
          <w:sz w:val="14"/>
          <w:szCs w:val="40"/>
        </w:rPr>
      </w:pPr>
    </w:p>
    <w:p w14:paraId="325550B1" w14:textId="77777777" w:rsidR="00D809F0" w:rsidRPr="006E117A" w:rsidRDefault="00D809F0" w:rsidP="00D809F0">
      <w:pPr>
        <w:spacing w:after="0" w:line="360" w:lineRule="auto"/>
        <w:ind w:left="-142"/>
        <w:rPr>
          <w:rFonts w:ascii="Century Gothic" w:eastAsia="Times New Roman" w:hAnsi="Century Gothic"/>
          <w:b/>
          <w:bCs/>
          <w:sz w:val="24"/>
          <w:szCs w:val="80"/>
        </w:rPr>
      </w:pPr>
      <w:r w:rsidRPr="006E117A">
        <w:rPr>
          <w:rFonts w:ascii="Century Gothic" w:eastAsia="Times New Roman" w:hAnsi="Century Gothic"/>
          <w:b/>
          <w:bCs/>
          <w:sz w:val="24"/>
          <w:szCs w:val="80"/>
        </w:rPr>
        <w:t>How can I record the views of the child or young person?</w:t>
      </w:r>
    </w:p>
    <w:p w14:paraId="0E057098" w14:textId="77777777" w:rsidR="00D809F0" w:rsidRPr="006E117A" w:rsidRDefault="00D809F0" w:rsidP="00D809F0">
      <w:pPr>
        <w:spacing w:after="0" w:line="360" w:lineRule="auto"/>
        <w:ind w:left="-142"/>
        <w:rPr>
          <w:rFonts w:ascii="Century Gothic" w:eastAsia="Times New Roman" w:hAnsi="Century Gothic"/>
          <w:sz w:val="24"/>
          <w:szCs w:val="80"/>
        </w:rPr>
      </w:pPr>
      <w:r w:rsidRPr="006E117A">
        <w:rPr>
          <w:rFonts w:ascii="Century Gothic" w:eastAsia="Times New Roman" w:hAnsi="Century Gothic"/>
          <w:sz w:val="24"/>
          <w:szCs w:val="80"/>
        </w:rPr>
        <w:t>It is important to gather the child or young person’s contributions about:</w:t>
      </w:r>
    </w:p>
    <w:p w14:paraId="01BD25FA" w14:textId="77777777" w:rsidR="00D809F0" w:rsidRPr="006E117A" w:rsidRDefault="00D809F0" w:rsidP="00D809F0">
      <w:pPr>
        <w:numPr>
          <w:ilvl w:val="0"/>
          <w:numId w:val="4"/>
        </w:numPr>
        <w:spacing w:after="0" w:line="360" w:lineRule="auto"/>
        <w:ind w:left="357" w:hanging="357"/>
        <w:rPr>
          <w:rFonts w:ascii="Century Gothic" w:eastAsia="Times New Roman" w:hAnsi="Century Gothic"/>
          <w:b/>
          <w:sz w:val="24"/>
          <w:szCs w:val="80"/>
        </w:rPr>
      </w:pPr>
      <w:r w:rsidRPr="006E117A">
        <w:rPr>
          <w:rFonts w:ascii="Century Gothic" w:eastAsia="Times New Roman" w:hAnsi="Century Gothic"/>
          <w:b/>
          <w:sz w:val="24"/>
          <w:szCs w:val="80"/>
        </w:rPr>
        <w:t>‘What people like and admire about’ them</w:t>
      </w:r>
    </w:p>
    <w:p w14:paraId="5066A87C" w14:textId="77777777" w:rsidR="00D809F0" w:rsidRPr="006E117A" w:rsidRDefault="00D809F0" w:rsidP="00D809F0">
      <w:pPr>
        <w:numPr>
          <w:ilvl w:val="0"/>
          <w:numId w:val="4"/>
        </w:numPr>
        <w:spacing w:after="0" w:line="360" w:lineRule="auto"/>
        <w:ind w:left="357" w:hanging="357"/>
        <w:rPr>
          <w:rFonts w:ascii="Century Gothic" w:eastAsia="Times New Roman" w:hAnsi="Century Gothic"/>
          <w:b/>
          <w:sz w:val="24"/>
          <w:szCs w:val="80"/>
        </w:rPr>
      </w:pPr>
      <w:r w:rsidRPr="006E117A">
        <w:rPr>
          <w:rFonts w:ascii="Century Gothic" w:eastAsia="Times New Roman" w:hAnsi="Century Gothic"/>
          <w:b/>
          <w:sz w:val="24"/>
          <w:szCs w:val="80"/>
        </w:rPr>
        <w:t xml:space="preserve">‘What’s important to’ them, now </w:t>
      </w:r>
      <w:r>
        <w:rPr>
          <w:rFonts w:ascii="Century Gothic" w:eastAsia="Times New Roman" w:hAnsi="Century Gothic"/>
          <w:b/>
          <w:sz w:val="24"/>
          <w:szCs w:val="80"/>
        </w:rPr>
        <w:t>and their aspirations for the future.</w:t>
      </w:r>
    </w:p>
    <w:p w14:paraId="0D5A6D87" w14:textId="77777777" w:rsidR="00D809F0" w:rsidRPr="006E117A" w:rsidRDefault="00D809F0" w:rsidP="00D809F0">
      <w:pPr>
        <w:numPr>
          <w:ilvl w:val="0"/>
          <w:numId w:val="4"/>
        </w:numPr>
        <w:spacing w:after="0" w:line="360" w:lineRule="auto"/>
        <w:ind w:left="357" w:hanging="357"/>
        <w:rPr>
          <w:rFonts w:ascii="Century Gothic" w:eastAsia="Times New Roman" w:hAnsi="Century Gothic"/>
          <w:b/>
          <w:sz w:val="24"/>
          <w:szCs w:val="80"/>
        </w:rPr>
      </w:pPr>
      <w:r w:rsidRPr="006E117A">
        <w:rPr>
          <w:rFonts w:ascii="Century Gothic" w:eastAsia="Times New Roman" w:hAnsi="Century Gothic"/>
          <w:b/>
          <w:sz w:val="24"/>
          <w:szCs w:val="80"/>
        </w:rPr>
        <w:t>What’s working / what’s not working for them currently</w:t>
      </w:r>
    </w:p>
    <w:p w14:paraId="61287B4E" w14:textId="77777777" w:rsidR="00D809F0" w:rsidRPr="006E117A" w:rsidRDefault="00D809F0" w:rsidP="00D809F0">
      <w:pPr>
        <w:numPr>
          <w:ilvl w:val="0"/>
          <w:numId w:val="4"/>
        </w:numPr>
        <w:spacing w:after="0" w:line="360" w:lineRule="auto"/>
        <w:ind w:left="357" w:hanging="357"/>
        <w:rPr>
          <w:rFonts w:ascii="Century Gothic" w:eastAsia="Times New Roman" w:hAnsi="Century Gothic"/>
          <w:b/>
          <w:sz w:val="24"/>
          <w:szCs w:val="80"/>
        </w:rPr>
      </w:pPr>
      <w:r w:rsidRPr="006E117A">
        <w:rPr>
          <w:rFonts w:ascii="Century Gothic" w:eastAsia="Times New Roman" w:hAnsi="Century Gothic"/>
          <w:b/>
          <w:sz w:val="24"/>
          <w:szCs w:val="80"/>
        </w:rPr>
        <w:t>‘How best to support’ them</w:t>
      </w:r>
    </w:p>
    <w:p w14:paraId="690F4011" w14:textId="77777777" w:rsidR="00D809F0" w:rsidRPr="006E117A" w:rsidRDefault="00D809F0" w:rsidP="00D809F0">
      <w:pPr>
        <w:spacing w:after="0" w:line="360" w:lineRule="auto"/>
        <w:rPr>
          <w:rFonts w:ascii="Century Gothic" w:eastAsia="Times New Roman" w:hAnsi="Century Gothic"/>
          <w:b/>
          <w:sz w:val="6"/>
          <w:szCs w:val="80"/>
        </w:rPr>
      </w:pPr>
    </w:p>
    <w:p w14:paraId="0919B920" w14:textId="77777777" w:rsidR="00D809F0" w:rsidRPr="006E117A" w:rsidRDefault="00D809F0" w:rsidP="00D809F0">
      <w:pPr>
        <w:spacing w:after="0" w:line="360" w:lineRule="auto"/>
        <w:ind w:left="-142"/>
        <w:rPr>
          <w:rFonts w:ascii="Century Gothic" w:eastAsia="Times New Roman" w:hAnsi="Century Gothic"/>
          <w:sz w:val="24"/>
          <w:szCs w:val="80"/>
        </w:rPr>
      </w:pPr>
      <w:r w:rsidRPr="006E117A">
        <w:rPr>
          <w:rFonts w:ascii="Century Gothic" w:eastAsia="Times New Roman" w:hAnsi="Century Gothic"/>
          <w:b/>
          <w:bCs/>
          <w:sz w:val="24"/>
          <w:szCs w:val="80"/>
        </w:rPr>
        <w:t>Structured conversations</w:t>
      </w:r>
      <w:r w:rsidRPr="006E117A">
        <w:rPr>
          <w:rFonts w:ascii="Century Gothic" w:eastAsia="Times New Roman" w:hAnsi="Century Gothic"/>
          <w:sz w:val="24"/>
          <w:szCs w:val="80"/>
        </w:rPr>
        <w:t xml:space="preserve"> ensure that their views are considered fully and lead to meaningful contributions. The information that is gathered should inform decisions about potential outcomes, provision and, more generally, how they are supported. </w:t>
      </w:r>
    </w:p>
    <w:p w14:paraId="3ADFB826" w14:textId="77777777" w:rsidR="00D809F0" w:rsidRPr="006E117A" w:rsidRDefault="00D809F0" w:rsidP="00D809F0">
      <w:pPr>
        <w:spacing w:after="0" w:line="360" w:lineRule="auto"/>
        <w:ind w:left="-142"/>
        <w:rPr>
          <w:rFonts w:ascii="Century Gothic" w:eastAsia="Times New Roman" w:hAnsi="Century Gothic"/>
          <w:sz w:val="10"/>
          <w:szCs w:val="52"/>
        </w:rPr>
      </w:pPr>
    </w:p>
    <w:p w14:paraId="33A85422" w14:textId="77777777" w:rsidR="00D809F0" w:rsidRPr="005D432A" w:rsidRDefault="00D809F0" w:rsidP="00D809F0">
      <w:pPr>
        <w:numPr>
          <w:ilvl w:val="0"/>
          <w:numId w:val="3"/>
        </w:numPr>
        <w:spacing w:after="0" w:line="360" w:lineRule="auto"/>
        <w:ind w:left="142"/>
        <w:rPr>
          <w:rFonts w:ascii="Century Gothic" w:eastAsia="Times New Roman" w:hAnsi="Century Gothic"/>
          <w:b/>
          <w:sz w:val="24"/>
          <w:szCs w:val="80"/>
        </w:rPr>
      </w:pPr>
      <w:r w:rsidRPr="006E117A">
        <w:rPr>
          <w:rFonts w:ascii="Century Gothic" w:eastAsia="Times New Roman" w:hAnsi="Century Gothic"/>
          <w:b/>
          <w:sz w:val="24"/>
          <w:szCs w:val="80"/>
        </w:rPr>
        <w:t xml:space="preserve">Person-Centred Thinking Tools (PC Tools) – </w:t>
      </w:r>
      <w:r w:rsidRPr="006E117A">
        <w:rPr>
          <w:rFonts w:ascii="Century Gothic" w:eastAsia="Times New Roman" w:hAnsi="Century Gothic"/>
          <w:sz w:val="24"/>
          <w:szCs w:val="80"/>
        </w:rPr>
        <w:t xml:space="preserve">A number of PC Tools have been included in the </w:t>
      </w:r>
      <w:r w:rsidRPr="006E117A">
        <w:rPr>
          <w:rFonts w:ascii="Century Gothic" w:eastAsia="Times New Roman" w:hAnsi="Century Gothic"/>
          <w:b/>
          <w:bCs/>
          <w:sz w:val="24"/>
          <w:szCs w:val="80"/>
        </w:rPr>
        <w:t>‘resources’ folder</w:t>
      </w:r>
      <w:r w:rsidRPr="006E117A">
        <w:rPr>
          <w:rFonts w:ascii="Century Gothic" w:eastAsia="Times New Roman" w:hAnsi="Century Gothic"/>
          <w:sz w:val="24"/>
          <w:szCs w:val="80"/>
        </w:rPr>
        <w:t>. These include ‘Good Day / Bad Day’, ‘4+1</w:t>
      </w:r>
    </w:p>
    <w:p w14:paraId="5BB07D62" w14:textId="77777777" w:rsidR="00D809F0" w:rsidRPr="005C658F" w:rsidRDefault="00D809F0" w:rsidP="00D809F0">
      <w:pPr>
        <w:numPr>
          <w:ilvl w:val="0"/>
          <w:numId w:val="3"/>
        </w:numPr>
        <w:spacing w:after="0" w:line="360" w:lineRule="auto"/>
        <w:ind w:left="142"/>
        <w:rPr>
          <w:rFonts w:ascii="Century Gothic" w:eastAsia="Times New Roman" w:hAnsi="Century Gothic"/>
          <w:b/>
          <w:sz w:val="24"/>
          <w:szCs w:val="80"/>
        </w:rPr>
      </w:pPr>
      <w:r w:rsidRPr="005C658F">
        <w:rPr>
          <w:rFonts w:ascii="Century Gothic" w:eastAsia="Times New Roman" w:hAnsi="Century Gothic"/>
          <w:sz w:val="24"/>
          <w:szCs w:val="80"/>
        </w:rPr>
        <w:t>Questions’, ‘Perfect School’, ‘Communication Charts’ and ‘Working / Not Working’ formats.</w:t>
      </w:r>
    </w:p>
    <w:p w14:paraId="1CC6FB0F" w14:textId="77777777" w:rsidR="00D809F0" w:rsidRPr="006E117A" w:rsidRDefault="00D809F0" w:rsidP="00D809F0">
      <w:pPr>
        <w:spacing w:after="0" w:line="360" w:lineRule="auto"/>
        <w:ind w:left="-218"/>
        <w:rPr>
          <w:rFonts w:ascii="Century Gothic" w:eastAsia="Times New Roman" w:hAnsi="Century Gothic"/>
          <w:b/>
          <w:sz w:val="4"/>
          <w:szCs w:val="24"/>
        </w:rPr>
      </w:pPr>
    </w:p>
    <w:p w14:paraId="189A3BDA" w14:textId="77777777" w:rsidR="00D809F0" w:rsidRPr="006E117A" w:rsidRDefault="00D809F0" w:rsidP="00D809F0">
      <w:pPr>
        <w:numPr>
          <w:ilvl w:val="0"/>
          <w:numId w:val="3"/>
        </w:numPr>
        <w:spacing w:after="0" w:line="360" w:lineRule="auto"/>
        <w:ind w:left="142"/>
        <w:rPr>
          <w:rFonts w:ascii="Century Gothic" w:eastAsia="Times New Roman" w:hAnsi="Century Gothic"/>
          <w:b/>
          <w:sz w:val="24"/>
          <w:szCs w:val="80"/>
        </w:rPr>
      </w:pPr>
      <w:r w:rsidRPr="006E117A">
        <w:rPr>
          <w:rFonts w:ascii="Century Gothic" w:eastAsia="Times New Roman" w:hAnsi="Century Gothic"/>
          <w:b/>
          <w:sz w:val="24"/>
          <w:szCs w:val="80"/>
        </w:rPr>
        <w:t xml:space="preserve">Template - ‘Record of young person’s views’ – </w:t>
      </w:r>
      <w:r w:rsidRPr="006E117A">
        <w:rPr>
          <w:rFonts w:ascii="Century Gothic" w:eastAsia="Times New Roman" w:hAnsi="Century Gothic"/>
          <w:bCs/>
          <w:sz w:val="24"/>
          <w:szCs w:val="80"/>
        </w:rPr>
        <w:t xml:space="preserve">This document, included in the </w:t>
      </w:r>
      <w:r w:rsidRPr="006E117A">
        <w:rPr>
          <w:rFonts w:ascii="Century Gothic" w:eastAsia="Times New Roman" w:hAnsi="Century Gothic"/>
          <w:b/>
          <w:sz w:val="24"/>
          <w:szCs w:val="80"/>
        </w:rPr>
        <w:t>‘resources’ folder,</w:t>
      </w:r>
      <w:r w:rsidRPr="006E117A">
        <w:rPr>
          <w:rFonts w:ascii="Century Gothic" w:eastAsia="Times New Roman" w:hAnsi="Century Gothic"/>
          <w:bCs/>
          <w:sz w:val="24"/>
          <w:szCs w:val="80"/>
        </w:rPr>
        <w:t xml:space="preserve"> can be used to record</w:t>
      </w:r>
      <w:r w:rsidRPr="006E117A">
        <w:rPr>
          <w:rFonts w:ascii="Century Gothic" w:eastAsia="Times New Roman" w:hAnsi="Century Gothic"/>
          <w:b/>
          <w:sz w:val="24"/>
          <w:szCs w:val="80"/>
        </w:rPr>
        <w:t xml:space="preserve"> </w:t>
      </w:r>
      <w:r w:rsidRPr="006E117A">
        <w:rPr>
          <w:rFonts w:ascii="Century Gothic" w:eastAsia="Times New Roman" w:hAnsi="Century Gothic"/>
          <w:sz w:val="24"/>
          <w:szCs w:val="80"/>
        </w:rPr>
        <w:t xml:space="preserve">conversations, observations and other contributions made by the child or young person. However, you may record these in any format that you find useful. </w:t>
      </w:r>
    </w:p>
    <w:p w14:paraId="6FF6E605" w14:textId="77777777" w:rsidR="00D809F0" w:rsidRPr="006E117A" w:rsidRDefault="00D809F0" w:rsidP="00D809F0">
      <w:pPr>
        <w:spacing w:after="0" w:line="360" w:lineRule="auto"/>
        <w:ind w:left="-142"/>
        <w:rPr>
          <w:rFonts w:ascii="Century Gothic" w:eastAsia="Times New Roman" w:hAnsi="Century Gothic"/>
          <w:sz w:val="8"/>
          <w:szCs w:val="80"/>
        </w:rPr>
      </w:pPr>
    </w:p>
    <w:p w14:paraId="58A21CEC" w14:textId="122F277D" w:rsidR="00C745E6" w:rsidRDefault="00D809F0">
      <w:r>
        <w:rPr>
          <w:noProof/>
        </w:rPr>
        <mc:AlternateContent>
          <mc:Choice Requires="wps">
            <w:drawing>
              <wp:anchor distT="0" distB="0" distL="114300" distR="114300" simplePos="0" relativeHeight="251658240" behindDoc="0" locked="0" layoutInCell="1" allowOverlap="1" wp14:editId="4ACBB15B">
                <wp:simplePos x="0" y="0"/>
                <wp:positionH relativeFrom="margin">
                  <wp:align>left</wp:align>
                </wp:positionH>
                <wp:positionV relativeFrom="paragraph">
                  <wp:posOffset>330835</wp:posOffset>
                </wp:positionV>
                <wp:extent cx="5305425" cy="1982470"/>
                <wp:effectExtent l="0" t="0" r="28575" b="1778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982470"/>
                        </a:xfrm>
                        <a:prstGeom prst="roundRect">
                          <a:avLst>
                            <a:gd name="adj" fmla="val 10561"/>
                          </a:avLst>
                        </a:prstGeom>
                        <a:solidFill>
                          <a:srgbClr val="FFFFFF"/>
                        </a:solidFill>
                        <a:ln w="25400" cap="flat" cmpd="sng" algn="ctr">
                          <a:solidFill>
                            <a:srgbClr val="4F81BD"/>
                          </a:solidFill>
                          <a:prstDash val="solid"/>
                          <a:round/>
                          <a:headEnd/>
                          <a:tailEnd/>
                        </a:ln>
                      </wps:spPr>
                      <wps:txbx>
                        <w:txbxContent>
                          <w:p w14:paraId="3B2409AF" w14:textId="77777777" w:rsidR="00D809F0" w:rsidRPr="00D63D50" w:rsidRDefault="00D809F0" w:rsidP="00D809F0">
                            <w:pPr>
                              <w:jc w:val="center"/>
                              <w:rPr>
                                <w:rFonts w:ascii="Century Gothic" w:hAnsi="Century Gothic"/>
                                <w:b/>
                                <w:sz w:val="32"/>
                              </w:rPr>
                            </w:pPr>
                            <w:r w:rsidRPr="00D63D50">
                              <w:rPr>
                                <w:rFonts w:ascii="Century Gothic" w:hAnsi="Century Gothic"/>
                                <w:b/>
                                <w:sz w:val="32"/>
                              </w:rPr>
                              <w:t>EHCP Review</w:t>
                            </w:r>
                          </w:p>
                          <w:p w14:paraId="7094566D" w14:textId="77777777" w:rsidR="00D809F0" w:rsidRPr="00D978D5" w:rsidRDefault="00D809F0" w:rsidP="00D809F0">
                            <w:pPr>
                              <w:rPr>
                                <w:rFonts w:ascii="Century Gothic" w:hAnsi="Century Gothic"/>
                                <w:b/>
                                <w:sz w:val="24"/>
                                <w:szCs w:val="24"/>
                              </w:rPr>
                            </w:pPr>
                            <w:r w:rsidRPr="00D978D5">
                              <w:rPr>
                                <w:rFonts w:ascii="Century Gothic" w:hAnsi="Century Gothic"/>
                                <w:b/>
                                <w:sz w:val="24"/>
                                <w:szCs w:val="24"/>
                              </w:rPr>
                              <w:t>Suggested Tools for gaining views of CYP:</w:t>
                            </w:r>
                          </w:p>
                          <w:p w14:paraId="05C47FA6"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What’s Working / What’s Not Working</w:t>
                            </w:r>
                          </w:p>
                          <w:p w14:paraId="5E61B415"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Person-Centred Review (PCR)</w:t>
                            </w:r>
                          </w:p>
                          <w:p w14:paraId="65466CFB"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The Children &amp; Young People’s Views Toolkit</w:t>
                            </w:r>
                          </w:p>
                          <w:p w14:paraId="59CFD3D7" w14:textId="77777777" w:rsidR="00D809F0" w:rsidRPr="00D978D5" w:rsidRDefault="00D809F0" w:rsidP="00D809F0">
                            <w:pPr>
                              <w:pStyle w:val="ListParagraph"/>
                              <w:numPr>
                                <w:ilvl w:val="0"/>
                                <w:numId w:val="1"/>
                              </w:numPr>
                              <w:spacing w:after="0" w:line="360" w:lineRule="auto"/>
                              <w:contextualSpacing w:val="0"/>
                              <w:rPr>
                                <w:rFonts w:ascii="Century Gothic" w:hAnsi="Century Gothic"/>
                                <w:sz w:val="24"/>
                                <w:szCs w:val="24"/>
                              </w:rPr>
                            </w:pPr>
                            <w:r w:rsidRPr="00D978D5">
                              <w:rPr>
                                <w:rFonts w:ascii="Century Gothic" w:hAnsi="Century Gothic"/>
                                <w:sz w:val="24"/>
                                <w:szCs w:val="24"/>
                              </w:rPr>
                              <w:t>Planning Alternative Tomorrows with Hope (PATH)</w:t>
                            </w:r>
                          </w:p>
                          <w:p w14:paraId="14FEC636" w14:textId="77777777" w:rsidR="00D809F0" w:rsidRPr="00D63D50" w:rsidRDefault="00D809F0" w:rsidP="00D809F0"/>
                        </w:txbxContent>
                      </wps:txbx>
                      <wps:bodyPr rot="0" vert="horz" wrap="square" lIns="180000" tIns="0" rIns="180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style="position:absolute;margin-left:0;margin-top:26.05pt;width:417.75pt;height:156.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69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" strokecolor="#4f81bd" strokeweight="2pt">
                <v:textbox inset="5mm,0,5mm,0">
                  <w:txbxContent>
                    <w:p w14:paraId="3B2409AF" w14:textId="77777777" w:rsidR="00D809F0" w:rsidRPr="00D63D50" w:rsidRDefault="00D809F0" w:rsidP="00D809F0">
                      <w:pPr>
                        <w:jc w:val="center"/>
                        <w:rPr>
                          <w:rFonts w:ascii="Century Gothic" w:hAnsi="Century Gothic"/>
                          <w:b/>
                          <w:sz w:val="32"/>
                        </w:rPr>
                      </w:pPr>
                      <w:r w:rsidRPr="00D63D50">
                        <w:rPr>
                          <w:rFonts w:ascii="Century Gothic" w:hAnsi="Century Gothic"/>
                          <w:b/>
                          <w:sz w:val="32"/>
                        </w:rPr>
                        <w:t>EHCP Review</w:t>
                      </w:r>
                    </w:p>
                    <w:p w14:paraId="7094566D" w14:textId="77777777" w:rsidR="00D809F0" w:rsidRPr="00D978D5" w:rsidRDefault="00D809F0" w:rsidP="00D809F0">
                      <w:pPr>
                        <w:rPr>
                          <w:rFonts w:ascii="Century Gothic" w:hAnsi="Century Gothic"/>
                          <w:b/>
                          <w:sz w:val="24"/>
                          <w:szCs w:val="24"/>
                        </w:rPr>
                      </w:pPr>
                      <w:r w:rsidRPr="00D978D5">
                        <w:rPr>
                          <w:rFonts w:ascii="Century Gothic" w:hAnsi="Century Gothic"/>
                          <w:b/>
                          <w:sz w:val="24"/>
                          <w:szCs w:val="24"/>
                        </w:rPr>
                        <w:t>Suggested Tools for gaining views of CYP:</w:t>
                      </w:r>
                    </w:p>
                    <w:p w14:paraId="05C47FA6"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What’s Working / What’s Not Working</w:t>
                      </w:r>
                    </w:p>
                    <w:p w14:paraId="5E61B415"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Person-Centred Review (PCR)</w:t>
                      </w:r>
                    </w:p>
                    <w:p w14:paraId="65466CFB"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The Children &amp; Young People’s Views Toolkit</w:t>
                      </w:r>
                    </w:p>
                    <w:p w14:paraId="59CFD3D7" w14:textId="77777777" w:rsidR="00D809F0" w:rsidRPr="00D978D5" w:rsidRDefault="00D809F0" w:rsidP="00D809F0">
                      <w:pPr>
                        <w:pStyle w:val="ListParagraph"/>
                        <w:numPr>
                          <w:ilvl w:val="0"/>
                          <w:numId w:val="1"/>
                        </w:numPr>
                        <w:spacing w:after="0" w:line="360" w:lineRule="auto"/>
                        <w:contextualSpacing w:val="0"/>
                        <w:rPr>
                          <w:rFonts w:ascii="Century Gothic" w:hAnsi="Century Gothic"/>
                          <w:sz w:val="24"/>
                          <w:szCs w:val="24"/>
                        </w:rPr>
                      </w:pPr>
                      <w:r w:rsidRPr="00D978D5">
                        <w:rPr>
                          <w:rFonts w:ascii="Century Gothic" w:hAnsi="Century Gothic"/>
                          <w:sz w:val="24"/>
                          <w:szCs w:val="24"/>
                        </w:rPr>
                        <w:t>Planning Alternative Tomorrows with Hope (PATH)</w:t>
                      </w:r>
                    </w:p>
                    <w:p w14:paraId="14FEC636" w14:textId="77777777" w:rsidR="00D809F0" w:rsidRPr="00D63D50" w:rsidRDefault="00D809F0" w:rsidP="00D809F0"/>
                  </w:txbxContent>
                </v:textbox>
                <w10:wrap anchorx="margin"/>
              </v:roundrect>
            </w:pict>
          </mc:Fallback>
        </mc:AlternateContent>
      </w:r>
    </w:p>
    <w:sectPr w:rsidR="00C745E6" w:rsidSect="00C745E6">
      <w:headerReference w:type="default" r:id="rId7"/>
      <w:footerReference w:type="default" r:id="rId8"/>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673C" w14:textId="77777777" w:rsidR="00C745E6" w:rsidRDefault="00C745E6" w:rsidP="00C745E6">
      <w:pPr>
        <w:spacing w:after="0" w:line="240" w:lineRule="auto"/>
      </w:pPr>
      <w:r>
        <w:separator/>
      </w:r>
    </w:p>
  </w:endnote>
  <w:endnote w:type="continuationSeparator" w:id="0">
    <w:p w14:paraId="21855F17" w14:textId="77777777" w:rsidR="00C745E6" w:rsidRDefault="00C745E6" w:rsidP="00C7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6222" w14:textId="641B8C53" w:rsidR="00C745E6" w:rsidRPr="00C745E6" w:rsidRDefault="00D809F0" w:rsidP="00C745E6">
    <w:pPr>
      <w:pStyle w:val="Footer"/>
      <w:ind w:left="-1418"/>
    </w:pPr>
    <w:r>
      <w:rPr>
        <w:noProof/>
      </w:rPr>
      <mc:AlternateContent>
        <mc:Choice Requires="wps">
          <w:drawing>
            <wp:anchor distT="0" distB="0" distL="114300" distR="114300" simplePos="0" relativeHeight="251658240" behindDoc="0" locked="0" layoutInCell="1" allowOverlap="1" wp14:editId="689CD81C">
              <wp:simplePos x="0" y="0"/>
              <wp:positionH relativeFrom="column">
                <wp:posOffset>1287780</wp:posOffset>
              </wp:positionH>
              <wp:positionV relativeFrom="paragraph">
                <wp:posOffset>2332355</wp:posOffset>
              </wp:positionV>
              <wp:extent cx="5305425" cy="1982470"/>
              <wp:effectExtent l="0" t="0" r="28575" b="17780"/>
              <wp:wrapNone/>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982470"/>
                      </a:xfrm>
                      <a:prstGeom prst="roundRect">
                        <a:avLst>
                          <a:gd name="adj" fmla="val 10561"/>
                        </a:avLst>
                      </a:prstGeom>
                      <a:solidFill>
                        <a:srgbClr val="FFFFFF"/>
                      </a:solidFill>
                      <a:ln w="25400" cap="flat" cmpd="sng" algn="ctr">
                        <a:solidFill>
                          <a:srgbClr val="4F81BD"/>
                        </a:solidFill>
                        <a:prstDash val="solid"/>
                        <a:round/>
                        <a:headEnd/>
                        <a:tailEnd/>
                      </a:ln>
                    </wps:spPr>
                    <wps:txbx>
                      <w:txbxContent>
                        <w:p w14:paraId="4B343B3A" w14:textId="77777777" w:rsidR="00D809F0" w:rsidRPr="00D63D50" w:rsidRDefault="00D809F0" w:rsidP="00D809F0">
                          <w:pPr>
                            <w:jc w:val="center"/>
                            <w:rPr>
                              <w:rFonts w:ascii="Century Gothic" w:hAnsi="Century Gothic"/>
                              <w:b/>
                              <w:sz w:val="32"/>
                            </w:rPr>
                          </w:pPr>
                          <w:r w:rsidRPr="00D63D50">
                            <w:rPr>
                              <w:rFonts w:ascii="Century Gothic" w:hAnsi="Century Gothic"/>
                              <w:b/>
                              <w:sz w:val="32"/>
                            </w:rPr>
                            <w:t>EHCP Review</w:t>
                          </w:r>
                        </w:p>
                        <w:p w14:paraId="2DD10945" w14:textId="77777777" w:rsidR="00D809F0" w:rsidRPr="00D978D5" w:rsidRDefault="00D809F0" w:rsidP="00D809F0">
                          <w:pPr>
                            <w:rPr>
                              <w:rFonts w:ascii="Century Gothic" w:hAnsi="Century Gothic"/>
                              <w:b/>
                              <w:sz w:val="24"/>
                              <w:szCs w:val="24"/>
                            </w:rPr>
                          </w:pPr>
                          <w:r w:rsidRPr="00D978D5">
                            <w:rPr>
                              <w:rFonts w:ascii="Century Gothic" w:hAnsi="Century Gothic"/>
                              <w:b/>
                              <w:sz w:val="24"/>
                              <w:szCs w:val="24"/>
                            </w:rPr>
                            <w:t>Suggested Tools for gaining views of CYP:</w:t>
                          </w:r>
                        </w:p>
                        <w:p w14:paraId="475D76CE"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What’s Working / What’s Not Working</w:t>
                          </w:r>
                        </w:p>
                        <w:p w14:paraId="67A39566"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Person-Centred Review (PCR)</w:t>
                          </w:r>
                        </w:p>
                        <w:p w14:paraId="09A75EB9"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The Children &amp; Young People’s Views Toolkit</w:t>
                          </w:r>
                        </w:p>
                        <w:p w14:paraId="74E98B90" w14:textId="77777777" w:rsidR="00D809F0" w:rsidRPr="00D978D5" w:rsidRDefault="00D809F0" w:rsidP="00D809F0">
                          <w:pPr>
                            <w:pStyle w:val="ListParagraph"/>
                            <w:numPr>
                              <w:ilvl w:val="0"/>
                              <w:numId w:val="1"/>
                            </w:numPr>
                            <w:spacing w:after="0" w:line="360" w:lineRule="auto"/>
                            <w:contextualSpacing w:val="0"/>
                            <w:rPr>
                              <w:rFonts w:ascii="Century Gothic" w:hAnsi="Century Gothic"/>
                              <w:sz w:val="24"/>
                              <w:szCs w:val="24"/>
                            </w:rPr>
                          </w:pPr>
                          <w:r w:rsidRPr="00D978D5">
                            <w:rPr>
                              <w:rFonts w:ascii="Century Gothic" w:hAnsi="Century Gothic"/>
                              <w:sz w:val="24"/>
                              <w:szCs w:val="24"/>
                            </w:rPr>
                            <w:t>Planning Alternative Tomorrows with Hope (PATH)</w:t>
                          </w:r>
                        </w:p>
                        <w:p w14:paraId="3E9C0188" w14:textId="77777777" w:rsidR="00D809F0" w:rsidRPr="00D63D50" w:rsidRDefault="00D809F0" w:rsidP="00D809F0"/>
                      </w:txbxContent>
                    </wps:txbx>
                    <wps:bodyPr rot="0" vert="horz" wrap="square" lIns="180000" tIns="0" rIns="18000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32" o:spid="_x0000_s1027" style="position:absolute;left:0;text-align:left;margin-left:101.4pt;margin-top:183.65pt;width:417.75pt;height:1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9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" strokecolor="#4f81bd" strokeweight="2pt">
              <v:textbox inset="5mm,0,5mm,0">
                <w:txbxContent>
                  <w:p w14:paraId="4B343B3A" w14:textId="77777777" w:rsidR="00D809F0" w:rsidRPr="00D63D50" w:rsidRDefault="00D809F0" w:rsidP="00D809F0">
                    <w:pPr>
                      <w:jc w:val="center"/>
                      <w:rPr>
                        <w:rFonts w:ascii="Century Gothic" w:hAnsi="Century Gothic"/>
                        <w:b/>
                        <w:sz w:val="32"/>
                      </w:rPr>
                    </w:pPr>
                    <w:r w:rsidRPr="00D63D50">
                      <w:rPr>
                        <w:rFonts w:ascii="Century Gothic" w:hAnsi="Century Gothic"/>
                        <w:b/>
                        <w:sz w:val="32"/>
                      </w:rPr>
                      <w:t>EHCP Review</w:t>
                    </w:r>
                  </w:p>
                  <w:p w14:paraId="2DD10945" w14:textId="77777777" w:rsidR="00D809F0" w:rsidRPr="00D978D5" w:rsidRDefault="00D809F0" w:rsidP="00D809F0">
                    <w:pPr>
                      <w:rPr>
                        <w:rFonts w:ascii="Century Gothic" w:hAnsi="Century Gothic"/>
                        <w:b/>
                        <w:sz w:val="24"/>
                        <w:szCs w:val="24"/>
                      </w:rPr>
                    </w:pPr>
                    <w:r w:rsidRPr="00D978D5">
                      <w:rPr>
                        <w:rFonts w:ascii="Century Gothic" w:hAnsi="Century Gothic"/>
                        <w:b/>
                        <w:sz w:val="24"/>
                        <w:szCs w:val="24"/>
                      </w:rPr>
                      <w:t>Suggested Tools for gaining views of CYP:</w:t>
                    </w:r>
                  </w:p>
                  <w:p w14:paraId="475D76CE"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What’s Working / What’s Not Working</w:t>
                    </w:r>
                  </w:p>
                  <w:p w14:paraId="67A39566"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Person-Centred Review (PCR)</w:t>
                    </w:r>
                  </w:p>
                  <w:p w14:paraId="09A75EB9" w14:textId="77777777" w:rsidR="00D809F0" w:rsidRPr="00D978D5" w:rsidRDefault="00D809F0" w:rsidP="00D809F0">
                    <w:pPr>
                      <w:pStyle w:val="ListParagraph"/>
                      <w:numPr>
                        <w:ilvl w:val="0"/>
                        <w:numId w:val="1"/>
                      </w:numPr>
                      <w:spacing w:after="0" w:line="360" w:lineRule="auto"/>
                      <w:contextualSpacing w:val="0"/>
                      <w:rPr>
                        <w:rFonts w:ascii="Century Gothic" w:hAnsi="Century Gothic"/>
                        <w:b/>
                        <w:sz w:val="24"/>
                        <w:szCs w:val="24"/>
                      </w:rPr>
                    </w:pPr>
                    <w:r w:rsidRPr="00D978D5">
                      <w:rPr>
                        <w:rFonts w:ascii="Century Gothic" w:hAnsi="Century Gothic"/>
                        <w:sz w:val="24"/>
                        <w:szCs w:val="24"/>
                      </w:rPr>
                      <w:t>The Children &amp; Young People’s Views Toolkit</w:t>
                    </w:r>
                  </w:p>
                  <w:p w14:paraId="74E98B90" w14:textId="77777777" w:rsidR="00D809F0" w:rsidRPr="00D978D5" w:rsidRDefault="00D809F0" w:rsidP="00D809F0">
                    <w:pPr>
                      <w:pStyle w:val="ListParagraph"/>
                      <w:numPr>
                        <w:ilvl w:val="0"/>
                        <w:numId w:val="1"/>
                      </w:numPr>
                      <w:spacing w:after="0" w:line="360" w:lineRule="auto"/>
                      <w:contextualSpacing w:val="0"/>
                      <w:rPr>
                        <w:rFonts w:ascii="Century Gothic" w:hAnsi="Century Gothic"/>
                        <w:sz w:val="24"/>
                        <w:szCs w:val="24"/>
                      </w:rPr>
                    </w:pPr>
                    <w:r w:rsidRPr="00D978D5">
                      <w:rPr>
                        <w:rFonts w:ascii="Century Gothic" w:hAnsi="Century Gothic"/>
                        <w:sz w:val="24"/>
                        <w:szCs w:val="24"/>
                      </w:rPr>
                      <w:t>Planning Alternative Tomorrows with Hope (PATH)</w:t>
                    </w:r>
                  </w:p>
                  <w:p w14:paraId="3E9C0188" w14:textId="77777777" w:rsidR="00D809F0" w:rsidRPr="00D63D50" w:rsidRDefault="00D809F0" w:rsidP="00D809F0"/>
                </w:txbxContent>
              </v:textbox>
            </v:roundrect>
          </w:pict>
        </mc:Fallback>
      </mc:AlternateContent>
    </w:r>
    <w:r w:rsidR="00C745E6" w:rsidRPr="00AF0819">
      <w:rPr>
        <w:noProof/>
      </w:rPr>
      <w:drawing>
        <wp:inline distT="0" distB="0" distL="0" distR="0" wp14:anchorId="69CB5B2F" wp14:editId="35B8E498">
          <wp:extent cx="7486650" cy="752475"/>
          <wp:effectExtent l="0" t="0" r="0" b="9525"/>
          <wp:docPr id="2" name="Picture 2"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close up of a logo&#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t="41891"/>
                  <a:stretch>
                    <a:fillRect/>
                  </a:stretch>
                </pic:blipFill>
                <pic:spPr bwMode="auto">
                  <a:xfrm>
                    <a:off x="0" y="0"/>
                    <a:ext cx="748665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C3B05" w14:textId="77777777" w:rsidR="00C745E6" w:rsidRDefault="00C745E6" w:rsidP="00C745E6">
      <w:pPr>
        <w:spacing w:after="0" w:line="240" w:lineRule="auto"/>
      </w:pPr>
      <w:r>
        <w:separator/>
      </w:r>
    </w:p>
  </w:footnote>
  <w:footnote w:type="continuationSeparator" w:id="0">
    <w:p w14:paraId="4ACB8670" w14:textId="77777777" w:rsidR="00C745E6" w:rsidRDefault="00C745E6" w:rsidP="00C7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316B2" w14:textId="76E2B8C6" w:rsidR="00C745E6" w:rsidRDefault="00C745E6" w:rsidP="00C745E6">
    <w:pPr>
      <w:pStyle w:val="Header"/>
      <w:ind w:left="-1418"/>
    </w:pPr>
    <w:r w:rsidRPr="007A539E">
      <w:rPr>
        <w:noProof/>
      </w:rPr>
      <w:drawing>
        <wp:inline distT="0" distB="0" distL="0" distR="0" wp14:anchorId="00C8ACA2" wp14:editId="73246B80">
          <wp:extent cx="7515225" cy="1184275"/>
          <wp:effectExtent l="0" t="0" r="9525" b="0"/>
          <wp:docPr id="1" name="Picture 1"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A picture containing drawing&#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t="8464" b="20401"/>
                  <a:stretch>
                    <a:fillRect/>
                  </a:stretch>
                </pic:blipFill>
                <pic:spPr bwMode="auto">
                  <a:xfrm>
                    <a:off x="0" y="0"/>
                    <a:ext cx="7515225" cy="1184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C71"/>
    <w:multiLevelType w:val="hybridMultilevel"/>
    <w:tmpl w:val="39586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DA5B36"/>
    <w:multiLevelType w:val="hybridMultilevel"/>
    <w:tmpl w:val="CA584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A8D0A67"/>
    <w:multiLevelType w:val="hybridMultilevel"/>
    <w:tmpl w:val="62887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7E3594"/>
    <w:multiLevelType w:val="hybridMultilevel"/>
    <w:tmpl w:val="40A465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E6"/>
    <w:rsid w:val="00106EB8"/>
    <w:rsid w:val="00C745E6"/>
    <w:rsid w:val="00D80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714850"/>
  <w15:chartTrackingRefBased/>
  <w15:docId w15:val="{6A77DB9F-CC5F-477F-ADAE-175AA1D4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09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5E6"/>
  </w:style>
  <w:style w:type="paragraph" w:styleId="Footer">
    <w:name w:val="footer"/>
    <w:basedOn w:val="Normal"/>
    <w:link w:val="FooterChar"/>
    <w:uiPriority w:val="99"/>
    <w:unhideWhenUsed/>
    <w:rsid w:val="00C74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5E6"/>
  </w:style>
  <w:style w:type="paragraph" w:styleId="ListParagraph">
    <w:name w:val="List Paragraph"/>
    <w:basedOn w:val="Normal"/>
    <w:uiPriority w:val="99"/>
    <w:qFormat/>
    <w:rsid w:val="00D80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 Brine</dc:creator>
  <cp:keywords/>
  <dc:description/>
  <cp:lastModifiedBy>Lesley M Brine</cp:lastModifiedBy>
  <cp:revision>3</cp:revision>
  <dcterms:created xsi:type="dcterms:W3CDTF">2020-08-06T07:49:00Z</dcterms:created>
  <dcterms:modified xsi:type="dcterms:W3CDTF">2020-08-06T07:50:00Z</dcterms:modified>
</cp:coreProperties>
</file>